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6298D2" w14:textId="77777777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>МЕТОДИКА ЗА ОЦЕНКА НА ФИНАНСОВИЯ КАПАЦИТЕТ</w:t>
      </w:r>
      <w:r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НА </w:t>
      </w:r>
    </w:p>
    <w:p w14:paraId="0C8D7287" w14:textId="77777777" w:rsidR="0090257B" w:rsidRDefault="0090257B" w:rsidP="00754AE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КАНДИДАТИТЕ ПО ОПЕРАТИВНА ПРОГРАМА </w:t>
      </w:r>
    </w:p>
    <w:p w14:paraId="296F6E66" w14:textId="77777777" w:rsidR="00B938A0" w:rsidRPr="0090257B" w:rsidRDefault="0090257B" w:rsidP="00826A81">
      <w:pPr>
        <w:spacing w:after="360" w:line="360" w:lineRule="auto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„РАЗВИТИЕ НА ЧОВЕШКИТЕ РЕСУРСИ“ 2014 – 2020 </w:t>
      </w:r>
    </w:p>
    <w:p w14:paraId="32EB123A" w14:textId="77777777" w:rsidR="00AC30D9" w:rsidRPr="00754AE5" w:rsidRDefault="00901460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Регулаторна рамка</w:t>
      </w:r>
    </w:p>
    <w:p w14:paraId="7F27065F" w14:textId="77777777" w:rsidR="00D274CD" w:rsidRDefault="00D274CD" w:rsidP="001D41F5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Настоящата методика за оценка на финансовия капацитет на кандидат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ите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по Оперативна Програма „Развитие на Човешките Ресурси“ 2014 – 2020 г. е разработена в изпълнение на член 125,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3, т.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(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г) от Регламент 1303/2013, член 196, ал. 1 от Регламент 1268/2012 и член 202, ал.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2 и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 xml:space="preserve">ал.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3 от Регламент 1268/2012</w:t>
      </w:r>
      <w:r w:rsidR="009F705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72C5969" w14:textId="77777777" w:rsidR="00754AE5" w:rsidRPr="00754AE5" w:rsidRDefault="009F705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Изискуеми документи</w:t>
      </w:r>
    </w:p>
    <w:p w14:paraId="0EB2C918" w14:textId="77777777" w:rsidR="006B2BF9" w:rsidRDefault="00FF2795" w:rsidP="006B2BF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При подаване на 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>проектни предложения кандидат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ите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трябва да представ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ят</w:t>
      </w:r>
      <w:r w:rsidR="00901460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счетоводен баланс за </w:t>
      </w:r>
      <w:r w:rsidR="003002AF">
        <w:rPr>
          <w:rFonts w:ascii="Times New Roman" w:hAnsi="Times New Roman" w:cs="Times New Roman"/>
          <w:sz w:val="24"/>
          <w:szCs w:val="24"/>
          <w:lang w:val="bg-BG"/>
        </w:rPr>
        <w:t>предходна</w:t>
      </w:r>
      <w:r w:rsidR="0010226C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="003002A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финансови </w:t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годин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553A92">
        <w:rPr>
          <w:rStyle w:val="af2"/>
          <w:rFonts w:ascii="Times New Roman" w:hAnsi="Times New Roman" w:cs="Times New Roman"/>
          <w:sz w:val="24"/>
          <w:szCs w:val="24"/>
          <w:lang w:val="bg-BG"/>
        </w:rPr>
        <w:footnoteReference w:id="1"/>
      </w:r>
      <w:r w:rsidR="00550B6F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6B2BF9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B2BF9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</w:t>
      </w:r>
      <w:r w:rsidR="006B2BF9">
        <w:rPr>
          <w:rFonts w:ascii="Times New Roman" w:hAnsi="Times New Roman" w:cs="Times New Roman"/>
          <w:sz w:val="24"/>
          <w:szCs w:val="24"/>
          <w:lang w:val="bg-BG"/>
        </w:rPr>
        <w:t>финансовите отчети</w:t>
      </w:r>
      <w:r w:rsidR="006B2BF9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за предходната финансова година </w:t>
      </w:r>
      <w:r w:rsidR="006B2BF9">
        <w:rPr>
          <w:rFonts w:ascii="Times New Roman" w:hAnsi="Times New Roman" w:cs="Times New Roman"/>
          <w:sz w:val="24"/>
          <w:szCs w:val="24"/>
          <w:lang w:val="bg-BG"/>
        </w:rPr>
        <w:t>са</w:t>
      </w:r>
      <w:r w:rsidR="006B2BF9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подаден</w:t>
      </w:r>
      <w:r w:rsidR="006B2BF9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6B2BF9" w:rsidRPr="00211E31">
        <w:rPr>
          <w:rFonts w:ascii="Times New Roman" w:hAnsi="Times New Roman" w:cs="Times New Roman"/>
          <w:sz w:val="24"/>
          <w:szCs w:val="24"/>
          <w:lang w:val="bg-BG"/>
        </w:rPr>
        <w:t xml:space="preserve"> към  Националния статистически институт (НСИ), се извършва служебна проверка от оценителната комисия за посочените стойности за текуща печалба/загуба, собствен капитал и стойност на актива.</w:t>
      </w:r>
    </w:p>
    <w:p w14:paraId="1B6EBE07" w14:textId="331FA769" w:rsidR="00433628" w:rsidRDefault="00433628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2A8B0E5" w14:textId="77777777" w:rsidR="00BE35BD" w:rsidRPr="00054AF8" w:rsidRDefault="00BE35BD" w:rsidP="00BE35BD">
      <w:pPr>
        <w:spacing w:before="120"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  <w:r w:rsidRPr="00054AF8">
        <w:rPr>
          <w:rFonts w:ascii="Times New Roman" w:hAnsi="Times New Roman" w:cs="Times New Roman"/>
          <w:sz w:val="24"/>
          <w:szCs w:val="24"/>
          <w:lang w:val="bg-BG"/>
        </w:rPr>
        <w:t xml:space="preserve">Когато кандидатът/партньорът е </w:t>
      </w:r>
      <w:proofErr w:type="spellStart"/>
      <w:r w:rsidRPr="00054AF8">
        <w:rPr>
          <w:rFonts w:ascii="Times New Roman" w:hAnsi="Times New Roman" w:cs="Times New Roman"/>
          <w:sz w:val="24"/>
          <w:szCs w:val="24"/>
          <w:lang w:val="bg-BG"/>
        </w:rPr>
        <w:t>новорегистрирана</w:t>
      </w:r>
      <w:proofErr w:type="spellEnd"/>
      <w:r w:rsidRPr="00054AF8">
        <w:rPr>
          <w:rFonts w:ascii="Times New Roman" w:hAnsi="Times New Roman" w:cs="Times New Roman"/>
          <w:sz w:val="24"/>
          <w:szCs w:val="24"/>
          <w:lang w:val="bg-BG"/>
        </w:rPr>
        <w:t>/новосъздадена през текущата година организация, следва да приложи в секция 12 на ИСУН 2020 Счетоводен баланс за периода от регистрацията на кандидата/партньора до последната дата на месеца, предхождащ месеца на кандидатстване.</w:t>
      </w:r>
    </w:p>
    <w:p w14:paraId="52EF0AA0" w14:textId="4398CEAF" w:rsidR="00BE35BD" w:rsidRPr="00054AF8" w:rsidRDefault="00BE35BD" w:rsidP="00054AF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054AF8">
        <w:rPr>
          <w:rFonts w:ascii="Times New Roman" w:hAnsi="Times New Roman" w:cs="Times New Roman"/>
          <w:sz w:val="24"/>
          <w:szCs w:val="24"/>
          <w:lang w:val="bg-BG"/>
        </w:rPr>
        <w:t>Когато кандидатът/партньорът е община се прави служебна проверка в Закона за държавния бюджет.</w:t>
      </w:r>
    </w:p>
    <w:p w14:paraId="027CE4D1" w14:textId="77777777" w:rsidR="006369D2" w:rsidRPr="00754AE5" w:rsidRDefault="006369D2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Изисквания към кандидатите</w:t>
      </w:r>
    </w:p>
    <w:p w14:paraId="0C62EA57" w14:textId="77777777" w:rsidR="006369D2" w:rsidRPr="0090257B" w:rsidRDefault="006369D2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Кандидатите трябва да разполага със стабилни и достатъчни източници на финансиране за поддържане на своята дейност през целия период на изпълнение на проекта, за който се отпускат безвъзмездните средства, и за участие в неговото финансиране.</w:t>
      </w:r>
    </w:p>
    <w:p w14:paraId="49C4B8DD" w14:textId="77777777" w:rsidR="005751E8" w:rsidRDefault="005B1B90" w:rsidP="00CF1C47">
      <w:pPr>
        <w:spacing w:after="24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че оценителната комисия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установи, че са налице индикации за затруднено финансово положение на кандидата,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комисията 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>ще отхвърли проектното предложени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е</w:t>
      </w:r>
      <w:r w:rsidR="006369D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етап „Административно съответствие и допустимост“</w:t>
      </w:r>
      <w:r w:rsidR="00B25DEA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AF4DC08" w14:textId="77777777" w:rsidR="00B25DEA" w:rsidRPr="00754AE5" w:rsidRDefault="00B25DEA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Въведение в разработването на метод</w:t>
      </w:r>
      <w:r w:rsidR="00754AE5">
        <w:rPr>
          <w:rFonts w:ascii="Times New Roman" w:hAnsi="Times New Roman" w:cs="Times New Roman"/>
          <w:b/>
          <w:sz w:val="24"/>
          <w:szCs w:val="24"/>
          <w:lang w:val="bg-BG"/>
        </w:rPr>
        <w:t>иката</w:t>
      </w:r>
    </w:p>
    <w:p w14:paraId="3EA9DCB9" w14:textId="77777777" w:rsidR="00492ACD" w:rsidRPr="0090257B" w:rsidRDefault="005A2CD6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Оценката за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финансова стабилност дава </w:t>
      </w:r>
      <w:r w:rsidR="00D10335" w:rsidRPr="0090257B">
        <w:rPr>
          <w:rFonts w:ascii="Times New Roman" w:hAnsi="Times New Roman" w:cs="Times New Roman"/>
          <w:sz w:val="24"/>
          <w:szCs w:val="24"/>
          <w:lang w:val="bg-BG"/>
        </w:rPr>
        <w:t>информация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за качеството на финансовата структура на кандидата и предоставя увереност, че той ще бъде в състояние да изпълни проектните дейности за периода на действие на договора.</w:t>
      </w:r>
    </w:p>
    <w:p w14:paraId="1585796E" w14:textId="77777777" w:rsidR="00102707" w:rsidRPr="0090257B" w:rsidRDefault="00492ACD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lastRenderedPageBreak/>
        <w:t>Оценката се основава на няколко коефициента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</w:p>
    <w:p w14:paraId="3C902ABB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финансова независимост</w:t>
      </w:r>
    </w:p>
    <w:p w14:paraId="01C42380" w14:textId="77777777" w:rsidR="00102707" w:rsidRPr="0090257B" w:rsidRDefault="003F4DBC" w:rsidP="00754AE5">
      <w:pPr>
        <w:pStyle w:val="a3"/>
        <w:numPr>
          <w:ilvl w:val="0"/>
          <w:numId w:val="9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коефициент за рентабилност</w:t>
      </w:r>
      <w:r w:rsidR="00492ACD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5C9297A0" w14:textId="77777777" w:rsidR="005E77DC" w:rsidRPr="0090257B" w:rsidRDefault="003F4DBC" w:rsidP="00CF1C47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Методика</w:t>
      </w:r>
      <w:r w:rsidR="00305CE0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отчита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специфични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те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характеристики на кандидатите и може да бъде използвана за организации с различни юридически форми от търговски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дружества</w:t>
      </w:r>
      <w:r w:rsidR="005E77DC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 организации с нестопанска цел.</w:t>
      </w:r>
    </w:p>
    <w:p w14:paraId="7ECFC2D2" w14:textId="77777777" w:rsidR="009264A6" w:rsidRPr="00754AE5" w:rsidRDefault="003F4DBC" w:rsidP="00754AE5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sz w:val="24"/>
          <w:szCs w:val="24"/>
          <w:lang w:val="bg-BG"/>
        </w:rPr>
        <w:t>Методика</w:t>
      </w:r>
    </w:p>
    <w:p w14:paraId="0371E023" w14:textId="77777777" w:rsidR="009264A6" w:rsidRPr="0090257B" w:rsidRDefault="00754AE5" w:rsidP="000229E1">
      <w:pPr>
        <w:spacing w:after="120" w:line="360" w:lineRule="auto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оефициенти</w:t>
      </w:r>
      <w:r>
        <w:rPr>
          <w:rFonts w:ascii="Times New Roman" w:hAnsi="Times New Roman" w:cs="Times New Roman"/>
          <w:sz w:val="24"/>
          <w:szCs w:val="24"/>
          <w:lang w:val="bg-BG"/>
        </w:rPr>
        <w:t>те, които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се използват за определяне на нивото на увереност произтичаща от процеса на оценка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са следните</w:t>
      </w:r>
      <w:r w:rsidR="009264A6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42B05D48" w14:textId="77777777" w:rsidR="009264A6" w:rsidRPr="00E2541E" w:rsidRDefault="009264A6" w:rsidP="00754AE5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Оценка на финансовата </w:t>
      </w:r>
      <w:r w:rsidRPr="00E2541E">
        <w:rPr>
          <w:rFonts w:ascii="Times New Roman" w:hAnsi="Times New Roman" w:cs="Times New Roman"/>
          <w:b/>
          <w:i/>
          <w:sz w:val="24"/>
          <w:szCs w:val="24"/>
          <w:lang w:val="bg-BG"/>
        </w:rPr>
        <w:t>стабилност</w:t>
      </w:r>
    </w:p>
    <w:p w14:paraId="02F76056" w14:textId="77777777" w:rsidR="009264A6" w:rsidRPr="00E2541E" w:rsidRDefault="009264A6" w:rsidP="00754AE5">
      <w:pPr>
        <w:pStyle w:val="a3"/>
        <w:spacing w:after="0" w:line="360" w:lineRule="auto"/>
        <w:ind w:left="0"/>
        <w:rPr>
          <w:rFonts w:ascii="Times New Roman" w:hAnsi="Times New Roman" w:cs="Times New Roman"/>
          <w:sz w:val="24"/>
          <w:szCs w:val="24"/>
          <w:lang w:val="bg-BG"/>
        </w:rPr>
      </w:pPr>
      <w:r w:rsidRPr="00E2541E">
        <w:rPr>
          <w:rFonts w:ascii="Times New Roman" w:hAnsi="Times New Roman" w:cs="Times New Roman"/>
          <w:sz w:val="24"/>
          <w:szCs w:val="24"/>
          <w:lang w:val="bg-BG"/>
        </w:rPr>
        <w:t>Тази оценка е основана на следните индикатори:</w:t>
      </w:r>
    </w:p>
    <w:p w14:paraId="619AF65F" w14:textId="52E86F06" w:rsidR="00E976B1" w:rsidRPr="004770D3" w:rsidRDefault="004770D3" w:rsidP="00B1472B">
      <w:pPr>
        <w:spacing w:before="120" w:after="120" w:line="360" w:lineRule="auto"/>
        <w:jc w:val="both"/>
        <w:rPr>
          <w:rFonts w:ascii="Times New Roman" w:eastAsiaTheme="minorEastAsia" w:hAnsi="Times New Roman" w:cs="Times New Roman"/>
          <w:sz w:val="32"/>
          <w:szCs w:val="32"/>
          <w:lang w:val="bg-BG"/>
        </w:rPr>
      </w:pPr>
      <m:oMathPara>
        <m:oMath>
          <m:r>
            <m:rPr>
              <m:sty m:val="p"/>
            </m:rP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I.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Финансова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 xml:space="preserve"> </m:t>
          </m:r>
          <m:r>
            <w:rPr>
              <w:rFonts w:ascii="Cambria Math" w:eastAsia="Times New Roman" w:hAnsi="Cambria Math" w:cs="Times New Roman"/>
              <w:sz w:val="36"/>
              <w:szCs w:val="32"/>
              <w:lang w:val="bg-BG"/>
            </w:rPr>
            <m:t>независимост</m:t>
          </m:r>
          <m:r>
            <w:rPr>
              <w:rFonts w:ascii="Cambria Math" w:eastAsia="Times New Roman" w:hAnsi="Cambria Math" w:cs="Times New Roman"/>
              <w:sz w:val="32"/>
              <w:szCs w:val="32"/>
              <w:lang w:val="bg-BG"/>
            </w:rPr>
            <m:t>=</m:t>
          </m:r>
          <m:f>
            <m:fPr>
              <m:ctrlPr>
                <w:rPr>
                  <w:rFonts w:ascii="Cambria Math" w:eastAsia="Times New Roman" w:hAnsi="Cambria Math" w:cs="Times New Roman"/>
                  <w:i/>
                  <w:sz w:val="32"/>
                  <w:szCs w:val="32"/>
                  <w:lang w:val="bg-BG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Собствен капитал (код 05000)</m:t>
              </m:r>
            </m:num>
            <m:den>
              <m:r>
                <w:rPr>
                  <w:rFonts w:ascii="Cambria Math" w:eastAsia="Times New Roman" w:hAnsi="Cambria Math" w:cs="Times New Roman"/>
                  <w:sz w:val="32"/>
                  <w:szCs w:val="32"/>
                  <w:lang w:val="bg-BG"/>
                </w:rPr>
                <m:t>Сума на актива (код 04500)</m:t>
              </m:r>
            </m:den>
          </m:f>
        </m:oMath>
      </m:oMathPara>
    </w:p>
    <w:p w14:paraId="29DDC4F5" w14:textId="77777777" w:rsidR="004770D3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89F4D65" w14:textId="7CBA4174" w:rsidR="00E976B1" w:rsidRDefault="004770D3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3A6C0C">
        <w:rPr>
          <w:rFonts w:ascii="Times New Roman" w:eastAsiaTheme="minorEastAsia" w:hAnsi="Times New Roman" w:cs="Times New Roman"/>
          <w:sz w:val="36"/>
          <w:szCs w:val="36"/>
        </w:rPr>
        <w:t>II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  <w:r w:rsidRPr="003A6C0C">
        <w:rPr>
          <w:rFonts w:ascii="Times New Roman" w:eastAsiaTheme="minorEastAsia" w:hAnsi="Times New Roman" w:cs="Times New Roman"/>
          <w:sz w:val="36"/>
          <w:szCs w:val="36"/>
        </w:rPr>
        <w:t xml:space="preserve"> </w:t>
      </w:r>
      <m:oMath>
        <m:r>
          <w:rPr>
            <w:rFonts w:ascii="Cambria Math" w:eastAsia="Times New Roman" w:hAnsi="Cambria Math" w:cs="Times New Roman"/>
            <w:sz w:val="40"/>
            <w:szCs w:val="36"/>
            <w:lang w:val="bg-BG"/>
          </w:rPr>
          <m:t>Рентабилност=</m:t>
        </m:r>
        <m:f>
          <m:fPr>
            <m:ctrlP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</m:ctrlPr>
          </m:fPr>
          <m:num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Печалба или загуба (код 05600)</m:t>
            </m:r>
          </m:num>
          <m:den>
            <m:r>
              <w:rPr>
                <w:rFonts w:ascii="Cambria Math" w:eastAsia="Times New Roman" w:hAnsi="Cambria Math" w:cs="Times New Roman"/>
                <w:sz w:val="40"/>
                <w:szCs w:val="36"/>
                <w:lang w:val="bg-BG"/>
              </w:rPr>
              <m:t>Сума на актива (код 04500)</m:t>
            </m:r>
          </m:den>
        </m:f>
      </m:oMath>
    </w:p>
    <w:p w14:paraId="40838203" w14:textId="501B7689" w:rsidR="003A4DF2" w:rsidRDefault="00BA0182" w:rsidP="00B1472B">
      <w:pPr>
        <w:spacing w:before="120"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 отразява размера на собствения капитал като 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>отношение към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общата сума на </w:t>
      </w:r>
      <w:r w:rsidR="0021304A">
        <w:rPr>
          <w:rFonts w:ascii="Times New Roman" w:hAnsi="Times New Roman" w:cs="Times New Roman"/>
          <w:sz w:val="24"/>
          <w:szCs w:val="24"/>
          <w:lang w:val="bg-BG"/>
        </w:rPr>
        <w:t>активите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. Това показва до каква степен организациите зависят от финансиране от трета страна. Колкото </w:t>
      </w:r>
      <w:r w:rsidR="00471FC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е 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по-близо съотношението </w:t>
      </w:r>
      <w:r w:rsidR="00471FC2">
        <w:rPr>
          <w:rFonts w:ascii="Times New Roman" w:hAnsi="Times New Roman" w:cs="Times New Roman"/>
          <w:sz w:val="24"/>
          <w:szCs w:val="24"/>
          <w:lang w:val="bg-BG"/>
        </w:rPr>
        <w:t>до 1, толкова по-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финансово независима е организацията и има по-голяма автономия за управление. Колкото е по-близо съотношението до 0, толкова по-зависима е организацията е от финансиране от трета страна. Колкото по-нисък е коеф</w:t>
      </w:r>
      <w:r w:rsidR="00996CD1">
        <w:rPr>
          <w:rFonts w:ascii="Times New Roman" w:hAnsi="Times New Roman" w:cs="Times New Roman"/>
          <w:sz w:val="24"/>
          <w:szCs w:val="24"/>
          <w:lang w:val="bg-BG"/>
        </w:rPr>
        <w:t>ициентът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финансова независимост, толкова по-трудно ще бъде да получат кредити и </w:t>
      </w:r>
      <w:r w:rsidR="009F4130" w:rsidRPr="0090257B">
        <w:rPr>
          <w:rFonts w:ascii="Times New Roman" w:hAnsi="Times New Roman" w:cs="Times New Roman"/>
          <w:sz w:val="24"/>
          <w:szCs w:val="24"/>
          <w:lang w:val="bg-BG"/>
        </w:rPr>
        <w:t>външно финансиране</w:t>
      </w:r>
      <w:r w:rsidR="003A4DF2"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01F7673" w14:textId="77777777" w:rsidR="004E0E1E" w:rsidRDefault="00996CD1" w:rsidP="000229E1">
      <w:pPr>
        <w:tabs>
          <w:tab w:val="left" w:pos="426"/>
        </w:tabs>
        <w:spacing w:after="12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Коефициентът</w:t>
      </w:r>
      <w:r w:rsidR="004E0E1E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на рентабилност измерва ефективността с която организациите използват своите активи.</w:t>
      </w:r>
    </w:p>
    <w:p w14:paraId="220FC696" w14:textId="77777777" w:rsidR="004E0E1E" w:rsidRPr="00754AE5" w:rsidRDefault="003F4DBC" w:rsidP="000229E1">
      <w:pPr>
        <w:pStyle w:val="a3"/>
        <w:numPr>
          <w:ilvl w:val="0"/>
          <w:numId w:val="11"/>
        </w:numPr>
        <w:spacing w:after="12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4E0E1E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Оценка</w:t>
      </w:r>
    </w:p>
    <w:p w14:paraId="524233CB" w14:textId="77777777" w:rsidR="004E0E1E" w:rsidRPr="0090257B" w:rsidRDefault="004E0E1E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За да бъде определено нивото (лошо</w:t>
      </w:r>
      <w:r w:rsidR="00B6016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или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 добро) на финансовата стабилност на кандидатите </w:t>
      </w:r>
      <w:r w:rsidR="001D41F5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използва следната таблица:</w:t>
      </w:r>
    </w:p>
    <w:tbl>
      <w:tblPr>
        <w:tblW w:w="83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3119"/>
        <w:gridCol w:w="1700"/>
      </w:tblGrid>
      <w:tr w:rsidR="004E0E1E" w:rsidRPr="0090257B" w14:paraId="585973A8" w14:textId="77777777" w:rsidTr="00754AE5">
        <w:tc>
          <w:tcPr>
            <w:tcW w:w="3544" w:type="dxa"/>
            <w:vAlign w:val="center"/>
          </w:tcPr>
          <w:p w14:paraId="50C9E1A4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Индикатори</w:t>
            </w:r>
          </w:p>
        </w:tc>
        <w:tc>
          <w:tcPr>
            <w:tcW w:w="3119" w:type="dxa"/>
            <w:vAlign w:val="center"/>
          </w:tcPr>
          <w:p w14:paraId="6BE223D2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0" w:type="dxa"/>
            <w:vAlign w:val="center"/>
          </w:tcPr>
          <w:p w14:paraId="5D8527EC" w14:textId="77777777" w:rsidR="004E0E1E" w:rsidRPr="0090257B" w:rsidRDefault="004313F7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4E0E1E" w:rsidRPr="0090257B" w14:paraId="44056CAB" w14:textId="77777777" w:rsidTr="00754AE5">
        <w:tc>
          <w:tcPr>
            <w:tcW w:w="3544" w:type="dxa"/>
            <w:vAlign w:val="center"/>
          </w:tcPr>
          <w:p w14:paraId="7AB6D596" w14:textId="77777777" w:rsidR="004E0E1E" w:rsidRPr="0090257B" w:rsidRDefault="00BF0B9A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19" w:type="dxa"/>
            <w:vAlign w:val="center"/>
          </w:tcPr>
          <w:p w14:paraId="532CC85D" w14:textId="77777777" w:rsidR="004E0E1E" w:rsidRPr="005B1B90" w:rsidRDefault="004313F7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="004E0E1E"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≥ 0,5</w:t>
            </w:r>
          </w:p>
          <w:p w14:paraId="780F6EC6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0,4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0,5</w:t>
            </w:r>
          </w:p>
          <w:p w14:paraId="03199DB7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0,3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0,4</w:t>
            </w:r>
          </w:p>
          <w:p w14:paraId="08C42BA8" w14:textId="77777777" w:rsidR="004E0E1E" w:rsidRPr="005B1B90" w:rsidRDefault="004E0E1E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0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</w:t>
            </w:r>
            <w:r w:rsidRPr="005B1B90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 xml:space="preserve"> &lt; 0,3</w:t>
            </w:r>
          </w:p>
          <w:p w14:paraId="68CB8C05" w14:textId="77777777" w:rsidR="004E0E1E" w:rsidRPr="0090257B" w:rsidRDefault="009F4130" w:rsidP="00754AE5">
            <w:pPr>
              <w:keepNext/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0" w:type="dxa"/>
            <w:vAlign w:val="center"/>
          </w:tcPr>
          <w:p w14:paraId="63C7914B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7A1DD3F7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3</w:t>
            </w:r>
          </w:p>
          <w:p w14:paraId="6559B63F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3DB1711E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1</w:t>
            </w:r>
          </w:p>
          <w:p w14:paraId="5B4D6AC2" w14:textId="77777777" w:rsidR="004E0E1E" w:rsidRPr="0090257B" w:rsidRDefault="004E0E1E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-2</w:t>
            </w:r>
          </w:p>
        </w:tc>
      </w:tr>
      <w:tr w:rsidR="004E0E1E" w:rsidRPr="0090257B" w14:paraId="5BB6BDD0" w14:textId="77777777" w:rsidTr="00754AE5">
        <w:trPr>
          <w:cantSplit/>
        </w:trPr>
        <w:tc>
          <w:tcPr>
            <w:tcW w:w="3544" w:type="dxa"/>
            <w:vAlign w:val="center"/>
          </w:tcPr>
          <w:p w14:paraId="1F26ADF2" w14:textId="77777777" w:rsidR="004E0E1E" w:rsidRPr="0090257B" w:rsidRDefault="00E83B40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II.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19" w:type="dxa"/>
            <w:vAlign w:val="center"/>
          </w:tcPr>
          <w:p w14:paraId="29EBDDE1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≥ 2%</w:t>
            </w:r>
          </w:p>
          <w:p w14:paraId="58ABC6B8" w14:textId="77777777" w:rsidR="004E0E1E" w:rsidRPr="0090257B" w:rsidRDefault="004E0E1E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- 2% ≤ 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="004313F7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2%</w:t>
            </w:r>
          </w:p>
          <w:p w14:paraId="50F373B5" w14:textId="77777777" w:rsidR="004E0E1E" w:rsidRPr="0090257B" w:rsidRDefault="004313F7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Рентабилност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="004E0E1E"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&lt; - 2%</w:t>
            </w:r>
          </w:p>
        </w:tc>
        <w:tc>
          <w:tcPr>
            <w:tcW w:w="1700" w:type="dxa"/>
            <w:vAlign w:val="center"/>
          </w:tcPr>
          <w:p w14:paraId="26AAD20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4</w:t>
            </w:r>
          </w:p>
          <w:p w14:paraId="02491AC3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2</w:t>
            </w:r>
          </w:p>
          <w:p w14:paraId="49945CBE" w14:textId="77777777" w:rsidR="004E0E1E" w:rsidRPr="0090257B" w:rsidRDefault="004E0E1E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0</w:t>
            </w:r>
          </w:p>
        </w:tc>
      </w:tr>
    </w:tbl>
    <w:p w14:paraId="0C9CCEC6" w14:textId="77777777" w:rsidR="004313F7" w:rsidRDefault="003E50D7" w:rsidP="00D56C7A">
      <w:pPr>
        <w:spacing w:before="240"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Сумата на точките за всеки индикатор ще ни даде обща оценка за финансовата стабилност на кандидата.</w:t>
      </w:r>
    </w:p>
    <w:p w14:paraId="76B53F38" w14:textId="77777777" w:rsidR="00754AE5" w:rsidRPr="0090257B" w:rsidRDefault="00754AE5" w:rsidP="00754A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W w:w="6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701"/>
        <w:gridCol w:w="1417"/>
      </w:tblGrid>
      <w:tr w:rsidR="00754AE5" w:rsidRPr="0090257B" w14:paraId="66565FD5" w14:textId="77777777" w:rsidTr="00754AE5">
        <w:tc>
          <w:tcPr>
            <w:tcW w:w="3402" w:type="dxa"/>
            <w:vAlign w:val="center"/>
          </w:tcPr>
          <w:p w14:paraId="22473783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Оценка на финансовата стабилност</w:t>
            </w:r>
          </w:p>
        </w:tc>
        <w:tc>
          <w:tcPr>
            <w:tcW w:w="1701" w:type="dxa"/>
            <w:vAlign w:val="center"/>
          </w:tcPr>
          <w:p w14:paraId="21297349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Лоша</w:t>
            </w:r>
          </w:p>
        </w:tc>
        <w:tc>
          <w:tcPr>
            <w:tcW w:w="1417" w:type="dxa"/>
            <w:vAlign w:val="center"/>
          </w:tcPr>
          <w:p w14:paraId="4E387110" w14:textId="77777777" w:rsidR="00754AE5" w:rsidRPr="0090257B" w:rsidRDefault="00754AE5" w:rsidP="00754AE5">
            <w:pPr>
              <w:keepNext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bg-BG"/>
              </w:rPr>
              <w:t>Добра</w:t>
            </w:r>
          </w:p>
        </w:tc>
      </w:tr>
      <w:tr w:rsidR="00754AE5" w:rsidRPr="0090257B" w14:paraId="16D77281" w14:textId="77777777" w:rsidTr="00754AE5">
        <w:tc>
          <w:tcPr>
            <w:tcW w:w="3402" w:type="dxa"/>
            <w:vAlign w:val="center"/>
          </w:tcPr>
          <w:p w14:paraId="1AA7533C" w14:textId="77777777" w:rsidR="00754AE5" w:rsidRPr="0090257B" w:rsidRDefault="00754AE5" w:rsidP="00754AE5">
            <w:pPr>
              <w:spacing w:after="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Общ брой точки</w:t>
            </w:r>
          </w:p>
        </w:tc>
        <w:tc>
          <w:tcPr>
            <w:tcW w:w="1701" w:type="dxa"/>
            <w:vAlign w:val="center"/>
          </w:tcPr>
          <w:p w14:paraId="2030EB02" w14:textId="77777777" w:rsidR="00754AE5" w:rsidRPr="0090257B" w:rsidRDefault="00754AE5" w:rsidP="0030509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2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 малко</w:t>
            </w:r>
          </w:p>
        </w:tc>
        <w:tc>
          <w:tcPr>
            <w:tcW w:w="1417" w:type="dxa"/>
            <w:vAlign w:val="center"/>
          </w:tcPr>
          <w:p w14:paraId="0FB466C6" w14:textId="77777777" w:rsidR="00754AE5" w:rsidRPr="0090257B" w:rsidRDefault="00754AE5" w:rsidP="00754AE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</w:pP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 xml:space="preserve"> </w:t>
            </w:r>
            <w:r w:rsidRPr="0090257B">
              <w:rPr>
                <w:rFonts w:ascii="Times New Roman" w:eastAsia="Times New Roman" w:hAnsi="Times New Roman" w:cs="Times New Roman"/>
                <w:sz w:val="24"/>
                <w:szCs w:val="24"/>
                <w:lang w:val="bg-BG"/>
              </w:rPr>
              <w:t>и повече</w:t>
            </w:r>
          </w:p>
        </w:tc>
      </w:tr>
    </w:tbl>
    <w:p w14:paraId="625077A8" w14:textId="77777777" w:rsidR="003E50D7" w:rsidRPr="00754AE5" w:rsidRDefault="003F4DBC" w:rsidP="00F1576F">
      <w:pPr>
        <w:pStyle w:val="a3"/>
        <w:numPr>
          <w:ilvl w:val="0"/>
          <w:numId w:val="11"/>
        </w:numPr>
        <w:spacing w:before="480" w:after="240" w:line="360" w:lineRule="auto"/>
        <w:ind w:left="714" w:hanging="357"/>
        <w:contextualSpacing w:val="0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="009B6BA8" w:rsidRPr="00754AE5">
        <w:rPr>
          <w:rFonts w:ascii="Times New Roman" w:hAnsi="Times New Roman" w:cs="Times New Roman"/>
          <w:b/>
          <w:i/>
          <w:sz w:val="24"/>
          <w:szCs w:val="24"/>
          <w:lang w:val="bg-BG"/>
        </w:rPr>
        <w:t>Тълкуване на резултатите</w:t>
      </w:r>
    </w:p>
    <w:p w14:paraId="440B5C18" w14:textId="77777777" w:rsidR="009B6BA8" w:rsidRPr="0090257B" w:rsidRDefault="009B6BA8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На осн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>о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вата на общата оценка кандидатите попадат в </w:t>
      </w:r>
      <w:r w:rsidR="00540FE6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две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основни категории</w:t>
      </w:r>
      <w:r w:rsidR="00D86AD8" w:rsidRPr="0090257B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02D8EC6C" w14:textId="77777777" w:rsidR="00D86AD8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1. </w:t>
      </w:r>
      <w:r w:rsidR="003F4DBC"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Добра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финансова стабилност</w:t>
      </w:r>
    </w:p>
    <w:p w14:paraId="56F2ADB2" w14:textId="77777777" w:rsidR="00067A31" w:rsidRPr="0090257B" w:rsidRDefault="00067A31" w:rsidP="00683044">
      <w:pPr>
        <w:pStyle w:val="a3"/>
        <w:spacing w:after="240" w:line="36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Кандидатът демонстрира стабилен финансов профил. Изпълнени са условията за отпускане на безвъзмездна </w:t>
      </w:r>
      <w:r w:rsidR="00102707"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финансова 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помощ при нисък риск за средствата 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предоставяни от ЕС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36FE63ED" w14:textId="77777777" w:rsidR="00067A31" w:rsidRPr="0090257B" w:rsidRDefault="00102707" w:rsidP="00754AE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b/>
          <w:sz w:val="24"/>
          <w:szCs w:val="24"/>
          <w:lang w:val="bg-BG"/>
        </w:rPr>
        <w:t xml:space="preserve">2. </w:t>
      </w:r>
      <w:r w:rsidR="00067A31" w:rsidRPr="0090257B">
        <w:rPr>
          <w:rFonts w:ascii="Times New Roman" w:hAnsi="Times New Roman" w:cs="Times New Roman"/>
          <w:b/>
          <w:sz w:val="24"/>
          <w:szCs w:val="24"/>
          <w:lang w:val="bg-BG"/>
        </w:rPr>
        <w:t>Лоша финансова стабилност</w:t>
      </w:r>
    </w:p>
    <w:p w14:paraId="584C58E8" w14:textId="77777777" w:rsidR="00C4321A" w:rsidRPr="0090257B" w:rsidRDefault="00FD54FA" w:rsidP="001D41F5">
      <w:pPr>
        <w:pStyle w:val="a3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90257B">
        <w:rPr>
          <w:rFonts w:ascii="Times New Roman" w:hAnsi="Times New Roman" w:cs="Times New Roman"/>
          <w:sz w:val="24"/>
          <w:szCs w:val="24"/>
          <w:lang w:val="bg-BG"/>
        </w:rPr>
        <w:t>Оценителн</w:t>
      </w:r>
      <w:r w:rsidR="00754AE5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Pr="0090257B">
        <w:rPr>
          <w:rFonts w:ascii="Times New Roman" w:hAnsi="Times New Roman" w:cs="Times New Roman"/>
          <w:sz w:val="24"/>
          <w:szCs w:val="24"/>
          <w:lang w:val="bg-BG"/>
        </w:rPr>
        <w:t xml:space="preserve">та комисия отхвърля </w:t>
      </w:r>
      <w:r w:rsidR="003F4DBC" w:rsidRPr="0090257B">
        <w:rPr>
          <w:rFonts w:ascii="Times New Roman" w:hAnsi="Times New Roman" w:cs="Times New Roman"/>
          <w:sz w:val="24"/>
          <w:szCs w:val="24"/>
          <w:lang w:val="bg-BG"/>
        </w:rPr>
        <w:t>проектното предложение на кандидата на етап „Административно съответствие и допустимост“.</w:t>
      </w:r>
    </w:p>
    <w:sectPr w:rsidR="00C4321A" w:rsidRPr="0090257B" w:rsidSect="000229E1">
      <w:pgSz w:w="12240" w:h="15840"/>
      <w:pgMar w:top="709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B560A8" w14:textId="77777777" w:rsidR="00F853D7" w:rsidRDefault="00F853D7" w:rsidP="00B938A0">
      <w:pPr>
        <w:spacing w:after="0" w:line="240" w:lineRule="auto"/>
      </w:pPr>
      <w:r>
        <w:separator/>
      </w:r>
    </w:p>
  </w:endnote>
  <w:endnote w:type="continuationSeparator" w:id="0">
    <w:p w14:paraId="186E43CB" w14:textId="77777777" w:rsidR="00F853D7" w:rsidRDefault="00F853D7" w:rsidP="00B93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22B0F9" w14:textId="77777777" w:rsidR="00F853D7" w:rsidRDefault="00F853D7" w:rsidP="00B938A0">
      <w:pPr>
        <w:spacing w:after="0" w:line="240" w:lineRule="auto"/>
      </w:pPr>
      <w:r>
        <w:separator/>
      </w:r>
    </w:p>
  </w:footnote>
  <w:footnote w:type="continuationSeparator" w:id="0">
    <w:p w14:paraId="7F2764E5" w14:textId="77777777" w:rsidR="00F853D7" w:rsidRDefault="00F853D7" w:rsidP="00B938A0">
      <w:pPr>
        <w:spacing w:after="0" w:line="240" w:lineRule="auto"/>
      </w:pPr>
      <w:r>
        <w:continuationSeparator/>
      </w:r>
    </w:p>
  </w:footnote>
  <w:footnote w:id="1">
    <w:p w14:paraId="7424DEC7" w14:textId="77777777" w:rsidR="00553A92" w:rsidRPr="00AA7520" w:rsidRDefault="00553A92" w:rsidP="00553A92">
      <w:pPr>
        <w:pStyle w:val="af0"/>
        <w:rPr>
          <w:lang w:val="bg-BG"/>
        </w:rPr>
      </w:pPr>
      <w:r>
        <w:rPr>
          <w:rStyle w:val="af2"/>
        </w:rPr>
        <w:footnoteRef/>
      </w:r>
      <w:r>
        <w:t xml:space="preserve"> </w:t>
      </w:r>
      <w:r>
        <w:rPr>
          <w:lang w:val="bg-BG"/>
        </w:rPr>
        <w:t xml:space="preserve">В зависимост от предвиденото в Условията за кандидатстване по конкретната процедура.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C27D12"/>
    <w:multiLevelType w:val="hybridMultilevel"/>
    <w:tmpl w:val="024465B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D9D4CAA"/>
    <w:multiLevelType w:val="hybridMultilevel"/>
    <w:tmpl w:val="CB728D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2F2491F"/>
    <w:multiLevelType w:val="hybridMultilevel"/>
    <w:tmpl w:val="85EE690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4457983"/>
    <w:multiLevelType w:val="hybridMultilevel"/>
    <w:tmpl w:val="E4E49ADA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36C2720B"/>
    <w:multiLevelType w:val="multilevel"/>
    <w:tmpl w:val="C644CC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6" w15:restartNumberingAfterBreak="0">
    <w:nsid w:val="46074344"/>
    <w:multiLevelType w:val="hybridMultilevel"/>
    <w:tmpl w:val="D040B0A8"/>
    <w:lvl w:ilvl="0" w:tplc="10E80B40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58D65817"/>
    <w:multiLevelType w:val="hybridMultilevel"/>
    <w:tmpl w:val="426810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 w15:restartNumberingAfterBreak="0">
    <w:nsid w:val="67CA6B03"/>
    <w:multiLevelType w:val="hybridMultilevel"/>
    <w:tmpl w:val="38683AD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606A6C"/>
    <w:multiLevelType w:val="hybridMultilevel"/>
    <w:tmpl w:val="DC08AB6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0"/>
  </w:num>
  <w:num w:numId="4">
    <w:abstractNumId w:val="6"/>
  </w:num>
  <w:num w:numId="5">
    <w:abstractNumId w:val="1"/>
  </w:num>
  <w:num w:numId="6">
    <w:abstractNumId w:val="4"/>
  </w:num>
  <w:num w:numId="7">
    <w:abstractNumId w:val="7"/>
  </w:num>
  <w:num w:numId="8">
    <w:abstractNumId w:val="8"/>
  </w:num>
  <w:num w:numId="9">
    <w:abstractNumId w:val="3"/>
  </w:num>
  <w:num w:numId="10">
    <w:abstractNumId w:val="9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460"/>
    <w:rsid w:val="00011B1E"/>
    <w:rsid w:val="000229E1"/>
    <w:rsid w:val="00025870"/>
    <w:rsid w:val="00027A30"/>
    <w:rsid w:val="000330D5"/>
    <w:rsid w:val="0004413E"/>
    <w:rsid w:val="00054AF8"/>
    <w:rsid w:val="00067A31"/>
    <w:rsid w:val="0010226C"/>
    <w:rsid w:val="00102707"/>
    <w:rsid w:val="00106B39"/>
    <w:rsid w:val="0013793B"/>
    <w:rsid w:val="00152820"/>
    <w:rsid w:val="00162BE1"/>
    <w:rsid w:val="001B39F2"/>
    <w:rsid w:val="001D41F5"/>
    <w:rsid w:val="0021304A"/>
    <w:rsid w:val="00213185"/>
    <w:rsid w:val="00225277"/>
    <w:rsid w:val="00265F3F"/>
    <w:rsid w:val="00275BB5"/>
    <w:rsid w:val="002A2527"/>
    <w:rsid w:val="002E05D6"/>
    <w:rsid w:val="003002AF"/>
    <w:rsid w:val="00304175"/>
    <w:rsid w:val="00305095"/>
    <w:rsid w:val="00305CE0"/>
    <w:rsid w:val="003200C9"/>
    <w:rsid w:val="003A4DF2"/>
    <w:rsid w:val="003A6C0C"/>
    <w:rsid w:val="003E50D7"/>
    <w:rsid w:val="003E5162"/>
    <w:rsid w:val="003F4DBC"/>
    <w:rsid w:val="00413D55"/>
    <w:rsid w:val="00417DCE"/>
    <w:rsid w:val="004313F7"/>
    <w:rsid w:val="00433628"/>
    <w:rsid w:val="0045595E"/>
    <w:rsid w:val="00471FC2"/>
    <w:rsid w:val="004770D3"/>
    <w:rsid w:val="00492ACD"/>
    <w:rsid w:val="004E0E1E"/>
    <w:rsid w:val="004E4C9E"/>
    <w:rsid w:val="004E5D41"/>
    <w:rsid w:val="004F2B1C"/>
    <w:rsid w:val="00503B52"/>
    <w:rsid w:val="00540FE6"/>
    <w:rsid w:val="00550B6F"/>
    <w:rsid w:val="00553A92"/>
    <w:rsid w:val="005615DB"/>
    <w:rsid w:val="005751E8"/>
    <w:rsid w:val="0057652F"/>
    <w:rsid w:val="005964EE"/>
    <w:rsid w:val="005A2CD6"/>
    <w:rsid w:val="005B1B90"/>
    <w:rsid w:val="005C3D7A"/>
    <w:rsid w:val="005E0E81"/>
    <w:rsid w:val="005E1B50"/>
    <w:rsid w:val="005E77DC"/>
    <w:rsid w:val="006369D2"/>
    <w:rsid w:val="0066504F"/>
    <w:rsid w:val="006807BD"/>
    <w:rsid w:val="00683044"/>
    <w:rsid w:val="006939C0"/>
    <w:rsid w:val="006A5DDC"/>
    <w:rsid w:val="006B2BF9"/>
    <w:rsid w:val="00720EC0"/>
    <w:rsid w:val="00722AEE"/>
    <w:rsid w:val="007352C8"/>
    <w:rsid w:val="00754AE5"/>
    <w:rsid w:val="00786495"/>
    <w:rsid w:val="007A6DAD"/>
    <w:rsid w:val="007C36FB"/>
    <w:rsid w:val="007D4C04"/>
    <w:rsid w:val="007E39A3"/>
    <w:rsid w:val="007E79C0"/>
    <w:rsid w:val="00811432"/>
    <w:rsid w:val="00814F7A"/>
    <w:rsid w:val="0082006C"/>
    <w:rsid w:val="00826A81"/>
    <w:rsid w:val="00852E58"/>
    <w:rsid w:val="00853BE3"/>
    <w:rsid w:val="0088737F"/>
    <w:rsid w:val="008909E8"/>
    <w:rsid w:val="008951F9"/>
    <w:rsid w:val="008C4A97"/>
    <w:rsid w:val="008C56E2"/>
    <w:rsid w:val="00901460"/>
    <w:rsid w:val="0090257B"/>
    <w:rsid w:val="009264A6"/>
    <w:rsid w:val="00970883"/>
    <w:rsid w:val="00996CD1"/>
    <w:rsid w:val="009B6BA8"/>
    <w:rsid w:val="009C1D21"/>
    <w:rsid w:val="009C7EC0"/>
    <w:rsid w:val="009E4DD1"/>
    <w:rsid w:val="009E6616"/>
    <w:rsid w:val="009F4130"/>
    <w:rsid w:val="009F7052"/>
    <w:rsid w:val="00A12002"/>
    <w:rsid w:val="00A17257"/>
    <w:rsid w:val="00A66063"/>
    <w:rsid w:val="00A95996"/>
    <w:rsid w:val="00AC30D9"/>
    <w:rsid w:val="00B1472B"/>
    <w:rsid w:val="00B25DEA"/>
    <w:rsid w:val="00B52A78"/>
    <w:rsid w:val="00B54B0F"/>
    <w:rsid w:val="00B60166"/>
    <w:rsid w:val="00B938A0"/>
    <w:rsid w:val="00BA0182"/>
    <w:rsid w:val="00BA11D9"/>
    <w:rsid w:val="00BC1167"/>
    <w:rsid w:val="00BD3655"/>
    <w:rsid w:val="00BE205E"/>
    <w:rsid w:val="00BE35BD"/>
    <w:rsid w:val="00BF0B9A"/>
    <w:rsid w:val="00BF6ADB"/>
    <w:rsid w:val="00C01AC6"/>
    <w:rsid w:val="00C4321A"/>
    <w:rsid w:val="00C46FB4"/>
    <w:rsid w:val="00C502A1"/>
    <w:rsid w:val="00CD0E4E"/>
    <w:rsid w:val="00CD287E"/>
    <w:rsid w:val="00CE71CB"/>
    <w:rsid w:val="00CF1C47"/>
    <w:rsid w:val="00D10335"/>
    <w:rsid w:val="00D12140"/>
    <w:rsid w:val="00D274CD"/>
    <w:rsid w:val="00D5168A"/>
    <w:rsid w:val="00D56C7A"/>
    <w:rsid w:val="00D84194"/>
    <w:rsid w:val="00D86AD8"/>
    <w:rsid w:val="00D90B7C"/>
    <w:rsid w:val="00D9249C"/>
    <w:rsid w:val="00DC3F1E"/>
    <w:rsid w:val="00DC6AA5"/>
    <w:rsid w:val="00DE6775"/>
    <w:rsid w:val="00E15C50"/>
    <w:rsid w:val="00E2541E"/>
    <w:rsid w:val="00E441C4"/>
    <w:rsid w:val="00E83B40"/>
    <w:rsid w:val="00E976B1"/>
    <w:rsid w:val="00EB5323"/>
    <w:rsid w:val="00ED38A4"/>
    <w:rsid w:val="00F1576F"/>
    <w:rsid w:val="00F26120"/>
    <w:rsid w:val="00F31669"/>
    <w:rsid w:val="00F34A34"/>
    <w:rsid w:val="00F52830"/>
    <w:rsid w:val="00F63B61"/>
    <w:rsid w:val="00F66FFC"/>
    <w:rsid w:val="00F72A0E"/>
    <w:rsid w:val="00F853D7"/>
    <w:rsid w:val="00FA5939"/>
    <w:rsid w:val="00FC19CB"/>
    <w:rsid w:val="00FD54FA"/>
    <w:rsid w:val="00FE2517"/>
    <w:rsid w:val="00FF2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B8F39"/>
  <w15:docId w15:val="{BCB7D83C-6469-4F8D-824E-11151D550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GOGO">
    <w:name w:val="GOGO"/>
    <w:basedOn w:val="a"/>
    <w:qFormat/>
    <w:rsid w:val="00D12140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GB" w:eastAsia="bg-BG"/>
    </w:rPr>
  </w:style>
  <w:style w:type="paragraph" w:styleId="a3">
    <w:name w:val="List Paragraph"/>
    <w:basedOn w:val="a"/>
    <w:uiPriority w:val="34"/>
    <w:qFormat/>
    <w:rsid w:val="00901460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1B39F2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1B39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1B39F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8">
    <w:name w:val="Горен колонтитул Знак"/>
    <w:basedOn w:val="a0"/>
    <w:link w:val="a7"/>
    <w:uiPriority w:val="99"/>
    <w:rsid w:val="00B938A0"/>
  </w:style>
  <w:style w:type="paragraph" w:styleId="a9">
    <w:name w:val="footer"/>
    <w:basedOn w:val="a"/>
    <w:link w:val="aa"/>
    <w:uiPriority w:val="99"/>
    <w:unhideWhenUsed/>
    <w:rsid w:val="00B938A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aa">
    <w:name w:val="Долен колонтитул Знак"/>
    <w:basedOn w:val="a0"/>
    <w:link w:val="a9"/>
    <w:uiPriority w:val="99"/>
    <w:rsid w:val="00B938A0"/>
  </w:style>
  <w:style w:type="character" w:styleId="ab">
    <w:name w:val="annotation reference"/>
    <w:basedOn w:val="a0"/>
    <w:uiPriority w:val="99"/>
    <w:semiHidden/>
    <w:unhideWhenUsed/>
    <w:rsid w:val="00F34A34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F34A34"/>
    <w:pPr>
      <w:spacing w:line="240" w:lineRule="auto"/>
    </w:pPr>
    <w:rPr>
      <w:sz w:val="20"/>
      <w:szCs w:val="20"/>
    </w:rPr>
  </w:style>
  <w:style w:type="character" w:customStyle="1" w:styleId="ad">
    <w:name w:val="Текст на коментар Знак"/>
    <w:basedOn w:val="a0"/>
    <w:link w:val="ac"/>
    <w:uiPriority w:val="99"/>
    <w:semiHidden/>
    <w:rsid w:val="00F34A34"/>
    <w:rPr>
      <w:sz w:val="20"/>
      <w:szCs w:val="20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F34A34"/>
    <w:rPr>
      <w:b/>
      <w:bCs/>
    </w:rPr>
  </w:style>
  <w:style w:type="character" w:customStyle="1" w:styleId="af">
    <w:name w:val="Предмет на коментар Знак"/>
    <w:basedOn w:val="ad"/>
    <w:link w:val="ae"/>
    <w:uiPriority w:val="99"/>
    <w:semiHidden/>
    <w:rsid w:val="00F34A34"/>
    <w:rPr>
      <w:b/>
      <w:bCs/>
      <w:sz w:val="20"/>
      <w:szCs w:val="20"/>
    </w:rPr>
  </w:style>
  <w:style w:type="paragraph" w:styleId="af0">
    <w:name w:val="footnote text"/>
    <w:basedOn w:val="a"/>
    <w:link w:val="af1"/>
    <w:uiPriority w:val="99"/>
    <w:semiHidden/>
    <w:unhideWhenUsed/>
    <w:rsid w:val="002E05D6"/>
    <w:pPr>
      <w:spacing w:after="0" w:line="240" w:lineRule="auto"/>
    </w:pPr>
    <w:rPr>
      <w:sz w:val="20"/>
      <w:szCs w:val="20"/>
    </w:rPr>
  </w:style>
  <w:style w:type="character" w:customStyle="1" w:styleId="af1">
    <w:name w:val="Текст под линия Знак"/>
    <w:basedOn w:val="a0"/>
    <w:link w:val="af0"/>
    <w:uiPriority w:val="99"/>
    <w:semiHidden/>
    <w:rsid w:val="002E05D6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2E05D6"/>
    <w:rPr>
      <w:vertAlign w:val="superscript"/>
    </w:rPr>
  </w:style>
  <w:style w:type="paragraph" w:styleId="af3">
    <w:name w:val="Revision"/>
    <w:hidden/>
    <w:uiPriority w:val="99"/>
    <w:semiHidden/>
    <w:rsid w:val="001528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F4D9D-5C82-4C56-A7B0-D84BB6F1F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 Gerov</dc:creator>
  <cp:lastModifiedBy>Fujitsu</cp:lastModifiedBy>
  <cp:revision>116</cp:revision>
  <dcterms:created xsi:type="dcterms:W3CDTF">2015-05-14T13:29:00Z</dcterms:created>
  <dcterms:modified xsi:type="dcterms:W3CDTF">2019-04-02T07:31:00Z</dcterms:modified>
</cp:coreProperties>
</file>